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10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5533"/>
        <w:gridCol w:w="206"/>
      </w:tblGrid>
      <w:tr w:rsidR="00D53DEB" w:rsidTr="00D53DEB">
        <w:trPr>
          <w:trHeight w:val="420"/>
        </w:trPr>
        <w:tc>
          <w:tcPr>
            <w:tcW w:w="0" w:type="auto"/>
            <w:tcBorders>
              <w:bottom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spacing w:after="240"/>
            </w:pPr>
          </w:p>
        </w:tc>
        <w:tc>
          <w:tcPr>
            <w:tcW w:w="0" w:type="auto"/>
            <w:tcBorders>
              <w:bottom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/>
        </w:tc>
        <w:tc>
          <w:tcPr>
            <w:tcW w:w="0" w:type="auto"/>
            <w:tcBorders>
              <w:bottom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/>
        </w:tc>
      </w:tr>
      <w:tr w:rsidR="00D53DEB" w:rsidTr="00D53DEB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Teitl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Myfyrwyr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sy’n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Ailymuno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(y</w:t>
            </w:r>
            <w:r>
              <w:t xml:space="preserve"> </w:t>
            </w:r>
            <w:proofErr w:type="spellStart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>Polisi</w:t>
            </w:r>
            <w:proofErr w:type="spellEnd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>Prawf</w:t>
            </w:r>
            <w:proofErr w:type="spellEnd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>Myfyrwyr</w:t>
            </w:r>
            <w:proofErr w:type="spellEnd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color w:val="000000"/>
                <w:sz w:val="18"/>
                <w:szCs w:val="18"/>
              </w:rPr>
              <w:t>gynt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Re-engagement Policy (formerly Student Probation Policy)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/>
        </w:tc>
      </w:tr>
      <w:tr w:rsidR="00D53DEB" w:rsidTr="00D53DEB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Fersiwn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/>
        </w:tc>
      </w:tr>
      <w:tr w:rsidR="00D53DEB" w:rsidTr="00D53DEB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berthnasol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Who does this Policy Relate to?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Myfyrwyr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Staff</w:t>
            </w:r>
          </w:p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Students/Staff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/>
        </w:tc>
      </w:tr>
    </w:tbl>
    <w:p w:rsidR="00052509" w:rsidRDefault="00D53DEB" w:rsidP="00D53DEB">
      <w:pPr>
        <w:widowControl w:val="0"/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9525</wp:posOffset>
            </wp:positionV>
            <wp:extent cx="1392487" cy="961663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04119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487" cy="96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D87">
        <w:rPr>
          <w:b/>
        </w:rPr>
        <w:t xml:space="preserve">  </w:t>
      </w:r>
    </w:p>
    <w:p w:rsidR="00D53DEB" w:rsidRDefault="00D53DEB" w:rsidP="00D53DEB">
      <w:pPr>
        <w:pStyle w:val="Heading3"/>
        <w:rPr>
          <w:sz w:val="18"/>
          <w:szCs w:val="18"/>
        </w:rPr>
      </w:pPr>
    </w:p>
    <w:p w:rsidR="00D53DEB" w:rsidRDefault="00D53DEB" w:rsidP="00D53DEB">
      <w:pPr>
        <w:pStyle w:val="Heading3"/>
      </w:pPr>
      <w:proofErr w:type="spellStart"/>
      <w:r>
        <w:rPr>
          <w:sz w:val="18"/>
          <w:szCs w:val="18"/>
        </w:rPr>
        <w:t>Cydraddoldeb</w:t>
      </w:r>
      <w:proofErr w:type="spellEnd"/>
      <w:r>
        <w:rPr>
          <w:sz w:val="18"/>
          <w:szCs w:val="18"/>
        </w:rPr>
        <w:t xml:space="preserve"> ac </w:t>
      </w:r>
      <w:proofErr w:type="spellStart"/>
      <w:r>
        <w:rPr>
          <w:sz w:val="18"/>
          <w:szCs w:val="18"/>
        </w:rPr>
        <w:t>Amrywiaeth</w:t>
      </w:r>
      <w:proofErr w:type="spellEnd"/>
      <w:r>
        <w:rPr>
          <w:sz w:val="18"/>
          <w:szCs w:val="18"/>
        </w:rPr>
        <w:t xml:space="preserve"> / Equality &amp; Diversity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5455"/>
      </w:tblGrid>
      <w:tr w:rsidR="00D53DEB" w:rsidTr="00D53DEB">
        <w:trPr>
          <w:trHeight w:val="4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Gam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Asesu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Effaith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Gydraddoldeb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a’r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Gymraeg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 / 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Assessment Stage 1 (Equality &amp; Welsh) link: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 w:rsidP="00D53DEB">
            <w:pPr>
              <w:pStyle w:val="NormalWeb"/>
              <w:spacing w:before="0" w:beforeAutospacing="0" w:after="0" w:afterAutospacing="0"/>
            </w:pPr>
            <w:proofErr w:type="spellStart"/>
            <w:r w:rsidRPr="00D53DEB">
              <w:rPr>
                <w:rFonts w:ascii="Arial" w:hAnsi="Arial" w:cs="Arial"/>
                <w:sz w:val="18"/>
                <w:szCs w:val="18"/>
              </w:rPr>
              <w:t>Asesiad</w:t>
            </w:r>
            <w:proofErr w:type="spellEnd"/>
            <w:r w:rsidRPr="00D53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sz w:val="18"/>
                <w:szCs w:val="18"/>
              </w:rPr>
              <w:t>Effaith</w:t>
            </w:r>
            <w:proofErr w:type="spellEnd"/>
            <w:r w:rsidRPr="00D53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sz w:val="18"/>
                <w:szCs w:val="18"/>
              </w:rPr>
              <w:t>Polisi</w:t>
            </w:r>
            <w:proofErr w:type="spellEnd"/>
            <w:r w:rsidRPr="00D53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sz w:val="18"/>
                <w:szCs w:val="18"/>
              </w:rPr>
              <w:t>Myfyrwyr</w:t>
            </w:r>
            <w:proofErr w:type="spellEnd"/>
            <w:r w:rsidRPr="00D53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sz w:val="18"/>
                <w:szCs w:val="18"/>
              </w:rPr>
              <w:t>sy’n</w:t>
            </w:r>
            <w:proofErr w:type="spellEnd"/>
            <w:r w:rsidRPr="00D53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DEB">
              <w:rPr>
                <w:rFonts w:ascii="Arial" w:hAnsi="Arial" w:cs="Arial"/>
                <w:sz w:val="18"/>
                <w:szCs w:val="18"/>
              </w:rPr>
              <w:t>Ailymuno</w:t>
            </w:r>
            <w:proofErr w:type="spellEnd"/>
            <w:r w:rsidRPr="00D53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3DEB" w:rsidTr="00D53DEB">
        <w:trPr>
          <w:trHeight w:val="4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Effaith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Iaith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Gymraeg</w:t>
            </w:r>
            <w:proofErr w:type="spellEnd"/>
          </w:p>
          <w:p w:rsidR="00D53DEB" w:rsidRDefault="00D53DEB"/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Mae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asesiad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effaith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wedi'i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gynnal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polisi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hwn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ystyried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effaith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Gymraeg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unol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â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Safonau'r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Gymraeg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(94-104) a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Mesur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Gymraeg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Cymru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) 2011.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Welsh Language Impact</w:t>
            </w:r>
          </w:p>
          <w:p w:rsidR="00D53DEB" w:rsidRDefault="00D53DEB"/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impact assessment has been carried out on this policy to consider its effect on the Welsh Language in accordance with the Welsh Language Standards (94-104) and the Welsh Language (Wales) Measure 2011.</w:t>
            </w:r>
          </w:p>
        </w:tc>
      </w:tr>
    </w:tbl>
    <w:p w:rsidR="00D53DEB" w:rsidRDefault="00D53DEB" w:rsidP="00D53DEB">
      <w:pPr>
        <w:pStyle w:val="Heading3"/>
      </w:pPr>
      <w:proofErr w:type="spellStart"/>
      <w:r>
        <w:rPr>
          <w:sz w:val="18"/>
          <w:szCs w:val="18"/>
        </w:rPr>
        <w:t>Adolygu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Chymeradwyo</w:t>
      </w:r>
      <w:proofErr w:type="spellEnd"/>
      <w:r>
        <w:rPr>
          <w:sz w:val="18"/>
          <w:szCs w:val="18"/>
        </w:rPr>
        <w:t xml:space="preserve"> / Review and Approval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696"/>
        <w:gridCol w:w="3653"/>
        <w:gridCol w:w="2681"/>
      </w:tblGrid>
      <w:tr w:rsidR="00D53DEB" w:rsidTr="00D53DEB">
        <w:trPr>
          <w:trHeight w:val="4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Perchennog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Ddogfen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 Owner: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Dirprwy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Weithredwr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Profiadau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Pobl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Diwylliant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53DEB" w:rsidRDefault="00D53DE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Deputy Chief Executive People Experiences &amp; Culture</w:t>
            </w:r>
          </w:p>
          <w:p w:rsidR="00D53DEB" w:rsidRDefault="00D53DEB"/>
        </w:tc>
      </w:tr>
      <w:tr w:rsidR="00D53DEB" w:rsidTr="00D53DEB">
        <w:trPr>
          <w:trHeight w:val="74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Ymgynghoriad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 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Consultation: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Cyd-weithwyr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UDRh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Penaethiaid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Cynorthwyol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Gwasanaethau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Myfyrwyr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Gwasanaethau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Gweinyddu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53DEB" w:rsidRDefault="00D53DEB" w:rsidP="00C2238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SMT Colleagues, Assistant Principals, Student Services and Administration Services.</w:t>
            </w:r>
          </w:p>
        </w:tc>
      </w:tr>
      <w:tr w:rsidR="00D53DEB" w:rsidTr="00C22381">
        <w:trPr>
          <w:trHeight w:val="685"/>
        </w:trPr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cymeradwyo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Approved 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Cymeradwyaeth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Mewnol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Grŵp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Diogelu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 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Internal Committee Approval  e.g. Safeguarding Group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Enw'r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Grŵp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a'r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/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SMT People Experiences and Culture </w:t>
            </w:r>
          </w:p>
        </w:tc>
      </w:tr>
      <w:tr w:rsidR="00D53DEB" w:rsidTr="00D53DEB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Cyfathrebu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Diwylliant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Communications &amp; Culture Committee: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Medi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2021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8th September 2021</w:t>
            </w:r>
          </w:p>
        </w:tc>
      </w:tr>
      <w:tr w:rsidR="00D53DEB" w:rsidTr="00D53DEB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Pwyllgorau'r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Bwrdd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 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Board Committees: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Archwilio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Risg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 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Audit &amp; Risk Committee: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N/A</w:t>
            </w:r>
          </w:p>
        </w:tc>
      </w:tr>
      <w:tr w:rsidR="00D53DEB" w:rsidTr="00D53DEB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Cwricwlwm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Safonau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 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Curriculum &amp; Standards Committee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2381" w:rsidRDefault="00C22381" w:rsidP="00C223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D53DEB" w:rsidRDefault="00C22381" w:rsidP="00C2238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N/A</w:t>
            </w:r>
          </w:p>
        </w:tc>
      </w:tr>
      <w:tr w:rsidR="00D53DEB" w:rsidTr="00D53DEB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Cyllid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Pobl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Diwylliant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 Finance, People &amp; Culture Committee: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2381" w:rsidRDefault="00C22381" w:rsidP="00C223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D53DEB" w:rsidRDefault="00C22381" w:rsidP="00C2238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N/A</w:t>
            </w:r>
          </w:p>
        </w:tc>
      </w:tr>
      <w:tr w:rsidR="00D53DEB" w:rsidTr="00D53DEB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53DEB" w:rsidRDefault="00D53D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Corff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Llywodraethu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Governing Body: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2381" w:rsidRDefault="00C22381" w:rsidP="00C223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D53DEB" w:rsidRDefault="00C22381" w:rsidP="00C2238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N/A</w:t>
            </w:r>
          </w:p>
        </w:tc>
      </w:tr>
      <w:tr w:rsidR="00D53DEB" w:rsidTr="00D53DEB">
        <w:trPr>
          <w:trHeight w:val="40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DEB" w:rsidRDefault="00D53DE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Adolygu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Review Date: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2381" w:rsidRDefault="00C223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Awst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2024</w:t>
            </w:r>
          </w:p>
          <w:p w:rsidR="00D53DEB" w:rsidRDefault="00D53DE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August 2024</w:t>
            </w:r>
          </w:p>
        </w:tc>
      </w:tr>
    </w:tbl>
    <w:p w:rsidR="00D53DEB" w:rsidRDefault="00D53DEB" w:rsidP="00D53DEB"/>
    <w:p w:rsidR="00D53DEB" w:rsidRDefault="00D53DEB" w:rsidP="00D53DE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Anfonwch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ddogfen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chymeradwyo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i’w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chyfieithu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ddefnyddio’r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proofErr w:type="spellStart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Ffurflen</w:t>
        </w:r>
        <w:proofErr w:type="spellEnd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Cais</w:t>
        </w:r>
        <w:proofErr w:type="spellEnd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Cyfieithu</w:t>
        </w:r>
        <w:proofErr w:type="spellEnd"/>
      </w:hyperlink>
    </w:p>
    <w:p w:rsidR="00D53DEB" w:rsidRDefault="00D53DEB" w:rsidP="00C2238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Send approved document for Translation using the </w:t>
      </w:r>
      <w:hyperlink r:id="rId9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Translation Request Form</w:t>
        </w:r>
      </w:hyperlink>
    </w:p>
    <w:p w:rsidR="00C22381" w:rsidRDefault="00C22381" w:rsidP="00C22381">
      <w:pPr>
        <w:pStyle w:val="NormalWeb"/>
        <w:spacing w:before="0" w:beforeAutospacing="0" w:after="0" w:afterAutospacing="0"/>
        <w:jc w:val="center"/>
      </w:pPr>
    </w:p>
    <w:p w:rsidR="00D53DEB" w:rsidRDefault="00D53DEB" w:rsidP="00D53DEB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Rhifwch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bob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pharagr</w:t>
      </w:r>
      <w:r w:rsidRPr="00D53DEB">
        <w:rPr>
          <w:rFonts w:ascii="Arial" w:hAnsi="Arial" w:cs="Arial"/>
          <w:color w:val="000000"/>
          <w:sz w:val="18"/>
          <w:szCs w:val="18"/>
        </w:rPr>
        <w:t>af</w:t>
      </w:r>
      <w:r>
        <w:rPr>
          <w:rFonts w:ascii="Arial" w:hAnsi="Arial" w:cs="Arial"/>
          <w:color w:val="000000"/>
          <w:sz w:val="18"/>
          <w:szCs w:val="18"/>
        </w:rPr>
        <w:t>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</w:t>
      </w:r>
      <w:r w:rsidRPr="00D53DEB">
        <w:rPr>
          <w:rFonts w:ascii="Arial" w:hAnsi="Arial" w:cs="Arial"/>
          <w:color w:val="000000"/>
          <w:sz w:val="18"/>
          <w:szCs w:val="18"/>
        </w:rPr>
        <w:t>Please</w:t>
      </w:r>
      <w:r>
        <w:rPr>
          <w:rFonts w:ascii="Arial" w:hAnsi="Arial" w:cs="Arial"/>
          <w:color w:val="000000"/>
          <w:sz w:val="18"/>
          <w:szCs w:val="18"/>
        </w:rPr>
        <w:t xml:space="preserve"> number each section and paragraph</w:t>
      </w:r>
    </w:p>
    <w:p w:rsidR="00052509" w:rsidRDefault="00052509">
      <w:pPr>
        <w:jc w:val="center"/>
        <w:rPr>
          <w:sz w:val="20"/>
          <w:szCs w:val="20"/>
        </w:rPr>
      </w:pPr>
    </w:p>
    <w:p w:rsidR="00052509" w:rsidRDefault="00052509">
      <w:pPr>
        <w:jc w:val="center"/>
        <w:rPr>
          <w:sz w:val="20"/>
          <w:szCs w:val="20"/>
        </w:rPr>
      </w:pPr>
    </w:p>
    <w:p w:rsidR="00052509" w:rsidRDefault="00052509">
      <w:pPr>
        <w:jc w:val="center"/>
        <w:rPr>
          <w:sz w:val="20"/>
          <w:szCs w:val="20"/>
        </w:rPr>
      </w:pPr>
    </w:p>
    <w:p w:rsidR="00052509" w:rsidRDefault="00052509">
      <w:pPr>
        <w:jc w:val="center"/>
        <w:rPr>
          <w:sz w:val="20"/>
          <w:szCs w:val="20"/>
        </w:rPr>
      </w:pPr>
    </w:p>
    <w:p w:rsidR="00052509" w:rsidRDefault="00052509">
      <w:pPr>
        <w:jc w:val="center"/>
        <w:rPr>
          <w:sz w:val="20"/>
          <w:szCs w:val="20"/>
        </w:rPr>
      </w:pPr>
    </w:p>
    <w:p w:rsidR="00052509" w:rsidRDefault="00347D87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cy-GB"/>
        </w:rPr>
        <w:t>Tabl Cynnwys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Polisi Myfyrwyr sy’n Ailymuno</w:t>
      </w:r>
    </w:p>
    <w:p w:rsidR="00052509" w:rsidRDefault="00052509">
      <w:pPr>
        <w:jc w:val="center"/>
        <w:rPr>
          <w:b/>
          <w:sz w:val="24"/>
          <w:szCs w:val="24"/>
        </w:rPr>
      </w:pPr>
    </w:p>
    <w:tbl>
      <w:tblPr>
        <w:tblStyle w:val="a2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1335"/>
      </w:tblGrid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Diben 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Cwmpas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Gweithdrefn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Apeliadau</w:t>
            </w:r>
            <w:r>
              <w:rPr>
                <w:sz w:val="24"/>
                <w:szCs w:val="24"/>
                <w:lang w:val="cy-GB"/>
              </w:rPr>
              <w:tab/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4</w:t>
            </w:r>
          </w:p>
        </w:tc>
      </w:tr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Atodiad Un - Enghraifft o Lythyr Cytundeb 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6</w:t>
            </w:r>
          </w:p>
        </w:tc>
      </w:tr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Atodiad Dau - Cytundeb Myfyriwr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347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7</w:t>
            </w:r>
          </w:p>
        </w:tc>
      </w:tr>
      <w:tr w:rsidR="008356DE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05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09" w:rsidRDefault="0005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br w:type="page"/>
      </w:r>
    </w:p>
    <w:p w:rsidR="00052509" w:rsidRDefault="00052509">
      <w:pPr>
        <w:rPr>
          <w:sz w:val="24"/>
          <w:szCs w:val="24"/>
        </w:rPr>
      </w:pP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ind w:left="1440" w:right="720" w:hanging="720"/>
        <w:rPr>
          <w:b/>
          <w:color w:val="2E1A46"/>
          <w:sz w:val="34"/>
          <w:szCs w:val="34"/>
          <w:u w:val="single"/>
        </w:rPr>
      </w:pPr>
      <w:r>
        <w:rPr>
          <w:b/>
          <w:bCs/>
          <w:sz w:val="24"/>
          <w:szCs w:val="24"/>
          <w:lang w:val="cy-GB"/>
        </w:rPr>
        <w:t>1.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Diben</w:t>
      </w:r>
      <w:r>
        <w:rPr>
          <w:color w:val="2E1A46"/>
          <w:sz w:val="34"/>
          <w:szCs w:val="34"/>
          <w:lang w:val="cy-GB"/>
        </w:rPr>
        <w:t xml:space="preserve"> </w:t>
      </w:r>
    </w:p>
    <w:p w:rsidR="00052509" w:rsidRDefault="00052509">
      <w:pPr>
        <w:ind w:left="1440" w:right="720" w:hanging="720"/>
        <w:rPr>
          <w:color w:val="2E1A46"/>
          <w:sz w:val="24"/>
          <w:szCs w:val="24"/>
        </w:rPr>
      </w:pPr>
    </w:p>
    <w:p w:rsidR="00052509" w:rsidRDefault="00347D87">
      <w:pPr>
        <w:ind w:left="1440" w:right="71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1.1</w:t>
      </w:r>
      <w:r>
        <w:rPr>
          <w:sz w:val="24"/>
          <w:szCs w:val="24"/>
          <w:lang w:val="cy-GB"/>
        </w:rPr>
        <w:tab/>
        <w:t>Diben y polisi hwn yw darparu fframwaith cymorth i fyfyrwyr newydd a myfyrwyr sy'n dychwelyd ym</w:t>
      </w:r>
      <w:r>
        <w:rPr>
          <w:sz w:val="24"/>
          <w:szCs w:val="24"/>
          <w:lang w:val="cy-GB"/>
        </w:rPr>
        <w:t xml:space="preserve">gysylltu'n llwyddiannus ag astudio yn y Coleg ar ôl </w:t>
      </w:r>
      <w:r w:rsidR="00C22381">
        <w:rPr>
          <w:sz w:val="24"/>
          <w:szCs w:val="24"/>
          <w:lang w:val="cy-GB"/>
        </w:rPr>
        <w:t>cael eu t</w:t>
      </w:r>
      <w:r>
        <w:rPr>
          <w:sz w:val="24"/>
          <w:szCs w:val="24"/>
          <w:lang w:val="cy-GB"/>
        </w:rPr>
        <w:t xml:space="preserve">ynnu'n ôl </w:t>
      </w:r>
      <w:r w:rsidR="00C22381">
        <w:rPr>
          <w:sz w:val="24"/>
          <w:szCs w:val="24"/>
          <w:lang w:val="cy-GB"/>
        </w:rPr>
        <w:t xml:space="preserve">yn y gorffennol </w:t>
      </w:r>
      <w:r>
        <w:rPr>
          <w:sz w:val="24"/>
          <w:szCs w:val="24"/>
          <w:lang w:val="cy-GB"/>
        </w:rPr>
        <w:t>neu wedi cael anawsterau blaenorol gyda phresenoldeb, prydlondeb, agwedd at ddysgu neu faterion disgyblu eraill, megis rhybuddion, ataliad ne</w:t>
      </w:r>
      <w:r w:rsidR="00D53DEB">
        <w:rPr>
          <w:sz w:val="24"/>
          <w:szCs w:val="24"/>
          <w:lang w:val="cy-GB"/>
        </w:rPr>
        <w:t xml:space="preserve">u waharddiadau cyfnod penodol. </w:t>
      </w:r>
      <w:r>
        <w:rPr>
          <w:sz w:val="24"/>
          <w:szCs w:val="24"/>
          <w:lang w:val="cy-GB"/>
        </w:rPr>
        <w:t>Gall hyn h</w:t>
      </w:r>
      <w:r>
        <w:rPr>
          <w:sz w:val="24"/>
          <w:szCs w:val="24"/>
          <w:lang w:val="cy-GB"/>
        </w:rPr>
        <w:t>efyd gynnwys myfyrwyr sydd wedi methu arholiadau blaenorol neu sydd ag amgylchiadau eithriadol eraill. Mae cytuno i gyfnod prawf pedair wythnos (wythnosau addysgu) yn amod cofrestru ar gyfer myfyrwyr o'r fath. Yn ystod y cyfnod prawf, bydd y myfyriwr yn ca</w:t>
      </w:r>
      <w:r>
        <w:rPr>
          <w:sz w:val="24"/>
          <w:szCs w:val="24"/>
          <w:lang w:val="cy-GB"/>
        </w:rPr>
        <w:t xml:space="preserve">el cefnogaeth dda gyda gosod targedau clir a chynllunio gweithredu ar waith i hwyluso cwblhau'r cyfnod prawf yn llwyddiannus. </w:t>
      </w:r>
    </w:p>
    <w:p w:rsidR="00052509" w:rsidRDefault="00052509">
      <w:pPr>
        <w:ind w:left="1440" w:right="720" w:hanging="720"/>
        <w:rPr>
          <w:sz w:val="24"/>
          <w:szCs w:val="24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lang w:val="cy-GB"/>
        </w:rPr>
        <w:t xml:space="preserve">2. 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Cwmpas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2.1</w:t>
      </w:r>
      <w:r>
        <w:rPr>
          <w:sz w:val="24"/>
          <w:szCs w:val="24"/>
          <w:lang w:val="cy-GB"/>
        </w:rPr>
        <w:tab/>
        <w:t>Mae’r polisi hwn yn berthnasol i bob myfyriwr sydd wedi’u cofrestru yng Ngholeg Cambria, gan gynnwys myfyrwyr addysg bellach ac addysg uw</w:t>
      </w:r>
      <w:r>
        <w:rPr>
          <w:sz w:val="24"/>
          <w:szCs w:val="24"/>
          <w:lang w:val="cy-GB"/>
        </w:rPr>
        <w:t xml:space="preserve">ch, prentisiaid, myfyrwyr dysgu yn y gwaith a myfyrwyr sy’n oedolion yn y gymuned. 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b/>
          <w:color w:val="2E1A46"/>
          <w:sz w:val="34"/>
          <w:szCs w:val="34"/>
          <w:u w:val="single"/>
        </w:rPr>
      </w:pPr>
      <w:r>
        <w:rPr>
          <w:b/>
          <w:bCs/>
          <w:sz w:val="24"/>
          <w:szCs w:val="24"/>
          <w:lang w:val="cy-GB"/>
        </w:rPr>
        <w:t>3.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Gweithdrefn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b/>
          <w:color w:val="2E1A46"/>
          <w:sz w:val="34"/>
          <w:szCs w:val="34"/>
          <w:u w:val="single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3.1</w:t>
      </w:r>
      <w:r>
        <w:rPr>
          <w:sz w:val="24"/>
          <w:szCs w:val="24"/>
          <w:lang w:val="cy-GB"/>
        </w:rPr>
        <w:tab/>
        <w:t xml:space="preserve">Bydd myfyrwyr yn cofrestru gan ddilyn y gweithdrefnau arferol, ar yr amod y byddant ar gyfnod prawf os ydynt yn dod oddi mewn i’r categorïau a restrir uchod yn Adran 1.    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3.2. </w:t>
      </w:r>
      <w:r>
        <w:rPr>
          <w:sz w:val="24"/>
          <w:szCs w:val="24"/>
          <w:lang w:val="cy-GB"/>
        </w:rPr>
        <w:tab/>
        <w:t xml:space="preserve">Bydd Dirprwy Gyfarwyddwyr yn dynodi’r myfyrwyr hyn o’r cofrestriadau ac </w:t>
      </w: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yn cyfarfod â nhw, cy</w:t>
      </w:r>
      <w:r>
        <w:rPr>
          <w:sz w:val="24"/>
          <w:szCs w:val="24"/>
          <w:lang w:val="cy-GB"/>
        </w:rPr>
        <w:t>n dechrau yn y coleg, i gytuno ar gynllun gweithredu a fydd yn cael ei lofnodi a’i anfon yn ôl at y Dirprwy Gyfarwyddwr. Bydd yn rhaid hysbysu’r rhieni/gwarcheidwaid hefyd os yw’r myfyriwr yn iau nag 18 oed neu wedi’i nodi fel oedolyn mewn perygl. Cofnodir</w:t>
      </w:r>
      <w:r>
        <w:rPr>
          <w:sz w:val="24"/>
          <w:szCs w:val="24"/>
          <w:lang w:val="cy-GB"/>
        </w:rPr>
        <w:t xml:space="preserve"> hyn ar y cofnod bugeiliol ar gofnod EBS y myfyriwr.   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1440" w:right="720"/>
        <w:jc w:val="both"/>
        <w:rPr>
          <w:sz w:val="24"/>
          <w:szCs w:val="24"/>
        </w:rPr>
      </w:pPr>
    </w:p>
    <w:p w:rsidR="00052509" w:rsidRDefault="00347D87" w:rsidP="00C22381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3.3</w:t>
      </w:r>
      <w:r>
        <w:rPr>
          <w:sz w:val="24"/>
          <w:szCs w:val="24"/>
          <w:lang w:val="cy-GB"/>
        </w:rPr>
        <w:tab/>
        <w:t xml:space="preserve">Bydd y cyfnod prawf yn cael ei adolygu ar ôl 4 wythnos o addysgu gan y </w:t>
      </w:r>
      <w:r w:rsidR="00C22381"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 xml:space="preserve">Cyfarwyddwr </w:t>
      </w:r>
      <w:r>
        <w:rPr>
          <w:sz w:val="24"/>
          <w:szCs w:val="24"/>
          <w:lang w:val="cy-GB"/>
        </w:rPr>
        <w:t xml:space="preserve">Cwricwlwm a’r Anogwr Cynnydd/Tiwtor Personol a gwneir penderfyniad </w:t>
      </w:r>
      <w:r>
        <w:rPr>
          <w:sz w:val="24"/>
          <w:szCs w:val="24"/>
          <w:lang w:val="cy-GB"/>
        </w:rPr>
        <w:t xml:space="preserve">naill ai i ddod â’r cyfnod prawf </w:t>
      </w:r>
      <w:r>
        <w:rPr>
          <w:sz w:val="24"/>
          <w:szCs w:val="24"/>
          <w:lang w:val="cy-GB"/>
        </w:rPr>
        <w:t xml:space="preserve">i ben o ganlyniad i’w gwblhau’n llwyddiannus neu </w:t>
      </w:r>
      <w:r w:rsidR="00D53DEB">
        <w:rPr>
          <w:sz w:val="24"/>
          <w:szCs w:val="24"/>
          <w:lang w:val="cy-GB"/>
        </w:rPr>
        <w:t xml:space="preserve">i dynnu’r myfyriwr yn ôl. </w:t>
      </w:r>
      <w:r>
        <w:rPr>
          <w:sz w:val="24"/>
          <w:szCs w:val="24"/>
          <w:lang w:val="cy-GB"/>
        </w:rPr>
        <w:t xml:space="preserve">Bydd y penderfyniad yn seiliedig ar bresenoldeb, </w:t>
      </w:r>
      <w:r w:rsidR="00C22381">
        <w:rPr>
          <w:sz w:val="24"/>
          <w:szCs w:val="24"/>
        </w:rPr>
        <w:t xml:space="preserve"> </w:t>
      </w:r>
      <w:r>
        <w:rPr>
          <w:sz w:val="24"/>
          <w:szCs w:val="24"/>
          <w:lang w:val="cy-GB"/>
        </w:rPr>
        <w:t xml:space="preserve">agwedd a chyflwyniad gwaith y myfyriwr yn ystod y cyfnod prawf 4 wythnos (wythnosau addysgu). 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1440" w:right="720"/>
        <w:jc w:val="both"/>
        <w:rPr>
          <w:sz w:val="24"/>
          <w:szCs w:val="24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right="720" w:firstLine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3.4</w:t>
      </w:r>
      <w:r>
        <w:rPr>
          <w:sz w:val="24"/>
          <w:szCs w:val="24"/>
          <w:lang w:val="cy-GB"/>
        </w:rPr>
        <w:tab/>
        <w:t>Fel arfer bydd y myfyriwr yn cael ei hysbysu o ganlyni</w:t>
      </w:r>
      <w:r>
        <w:rPr>
          <w:sz w:val="24"/>
          <w:szCs w:val="24"/>
          <w:lang w:val="cy-GB"/>
        </w:rPr>
        <w:t xml:space="preserve">ad yr Adolygiad </w:t>
      </w: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trwy lythyr gyda chopi i rieni/gwarcheidwaid os yw’r myfyriwr yn iau nag 18 oed neu’n oedolyn mewn perygl. Mae hyn yn ddarostyngedig i ganiatâd o dan ddeddfwriaet</w:t>
      </w:r>
      <w:r>
        <w:rPr>
          <w:sz w:val="24"/>
          <w:szCs w:val="24"/>
          <w:lang w:val="cy-GB"/>
        </w:rPr>
        <w:t>h GDPR. Os yw’r myfyriwr yn brentis, bydd ei gyflogwr yn cael copi o’r llythyr hefyd.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right="720" w:firstLine="720"/>
        <w:jc w:val="both"/>
        <w:rPr>
          <w:sz w:val="24"/>
          <w:szCs w:val="24"/>
        </w:rPr>
      </w:pPr>
    </w:p>
    <w:p w:rsidR="00052509" w:rsidRDefault="00347D87" w:rsidP="00C22381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3.5</w:t>
      </w:r>
      <w:r>
        <w:rPr>
          <w:sz w:val="24"/>
          <w:szCs w:val="24"/>
          <w:lang w:val="cy-GB"/>
        </w:rPr>
        <w:tab/>
        <w:t xml:space="preserve">Gallai’r myfyriwr apelio </w:t>
      </w:r>
      <w:r w:rsidR="00C22381">
        <w:rPr>
          <w:sz w:val="24"/>
          <w:szCs w:val="24"/>
          <w:lang w:val="cy-GB"/>
        </w:rPr>
        <w:t xml:space="preserve">yn erbyn penderfyniad i’w tynnu oddi ar </w:t>
      </w:r>
      <w:r w:rsidR="00C22381">
        <w:rPr>
          <w:sz w:val="24"/>
          <w:szCs w:val="24"/>
          <w:lang w:val="cy-GB"/>
        </w:rPr>
        <w:br/>
        <w:t xml:space="preserve">gwrs </w:t>
      </w:r>
      <w:r>
        <w:rPr>
          <w:sz w:val="24"/>
          <w:szCs w:val="24"/>
          <w:lang w:val="cy-GB"/>
        </w:rPr>
        <w:t>a/neu</w:t>
      </w:r>
      <w:r w:rsidR="00C22381">
        <w:rPr>
          <w:sz w:val="24"/>
          <w:szCs w:val="24"/>
          <w:lang w:val="cy-GB"/>
        </w:rPr>
        <w:t xml:space="preserve"> o</w:t>
      </w:r>
      <w:r>
        <w:rPr>
          <w:sz w:val="24"/>
          <w:szCs w:val="24"/>
          <w:lang w:val="cy-GB"/>
        </w:rPr>
        <w:t>’r Coleg ar sail presenoldeb</w:t>
      </w:r>
      <w:r w:rsidR="00D53DEB">
        <w:rPr>
          <w:sz w:val="24"/>
          <w:szCs w:val="24"/>
          <w:lang w:val="cy-GB"/>
        </w:rPr>
        <w:t xml:space="preserve">/agwedd/cyflwyno gwaith gwael. </w:t>
      </w:r>
      <w:r>
        <w:rPr>
          <w:sz w:val="24"/>
          <w:szCs w:val="24"/>
          <w:lang w:val="cy-GB"/>
        </w:rPr>
        <w:t xml:space="preserve">Rhaid i gais o’r fath fod yn seiliedig ar: </w:t>
      </w:r>
    </w:p>
    <w:p w:rsidR="00052509" w:rsidRDefault="00052509">
      <w:pPr>
        <w:pBdr>
          <w:top w:val="nil"/>
          <w:left w:val="nil"/>
          <w:bottom w:val="nil"/>
          <w:right w:val="nil"/>
          <w:between w:val="nil"/>
        </w:pBdr>
        <w:ind w:left="720" w:right="720" w:firstLine="720"/>
        <w:jc w:val="both"/>
        <w:rPr>
          <w:sz w:val="24"/>
          <w:szCs w:val="24"/>
        </w:rPr>
      </w:pP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720" w:right="720" w:firstLine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i. na ddilynwyd y gweithdrefnau’n gywir;</w:t>
      </w:r>
    </w:p>
    <w:p w:rsidR="00052509" w:rsidRDefault="00347D87">
      <w:pPr>
        <w:pBdr>
          <w:top w:val="nil"/>
          <w:left w:val="nil"/>
          <w:bottom w:val="nil"/>
          <w:right w:val="nil"/>
          <w:between w:val="nil"/>
        </w:pBdr>
        <w:ind w:left="1440" w:right="720"/>
        <w:jc w:val="both"/>
        <w:rPr>
          <w:color w:val="2E1A46"/>
          <w:sz w:val="24"/>
          <w:szCs w:val="24"/>
        </w:rPr>
      </w:pPr>
      <w:r>
        <w:rPr>
          <w:sz w:val="24"/>
          <w:szCs w:val="24"/>
          <w:lang w:val="cy-GB"/>
        </w:rPr>
        <w:t>ii. a/neu fod tystiolaeth newydd arwyddocaol nad oedd ar gael ar y pryd.</w:t>
      </w:r>
    </w:p>
    <w:p w:rsidR="00052509" w:rsidRDefault="00052509">
      <w:pPr>
        <w:ind w:left="1440" w:right="720" w:hanging="720"/>
        <w:rPr>
          <w:color w:val="2E1A46"/>
          <w:sz w:val="24"/>
          <w:szCs w:val="24"/>
        </w:rPr>
      </w:pPr>
    </w:p>
    <w:p w:rsidR="00052509" w:rsidRDefault="00347D87">
      <w:pPr>
        <w:ind w:left="1440" w:right="720" w:hanging="72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lang w:val="cy-GB"/>
        </w:rPr>
        <w:t>4.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Apeliadau</w:t>
      </w:r>
    </w:p>
    <w:p w:rsidR="00052509" w:rsidRDefault="00347D87">
      <w:pPr>
        <w:spacing w:before="240" w:after="200"/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4.1</w:t>
      </w:r>
      <w:r>
        <w:rPr>
          <w:sz w:val="24"/>
          <w:szCs w:val="24"/>
          <w:lang w:val="cy-GB"/>
        </w:rPr>
        <w:tab/>
        <w:t xml:space="preserve">Pan </w:t>
      </w:r>
      <w:r>
        <w:rPr>
          <w:sz w:val="24"/>
          <w:szCs w:val="24"/>
          <w:lang w:val="cy-GB"/>
        </w:rPr>
        <w:t>ddywedir wrth fy</w:t>
      </w:r>
      <w:r w:rsidR="00C22381">
        <w:rPr>
          <w:sz w:val="24"/>
          <w:szCs w:val="24"/>
          <w:lang w:val="cy-GB"/>
        </w:rPr>
        <w:t>fyriwr ei fod yn cael ei dynnu oddi ar</w:t>
      </w:r>
      <w:r>
        <w:rPr>
          <w:sz w:val="24"/>
          <w:szCs w:val="24"/>
          <w:lang w:val="cy-GB"/>
        </w:rPr>
        <w:t xml:space="preserve"> gwrs a/neu</w:t>
      </w:r>
      <w:r w:rsidR="00C22381">
        <w:rPr>
          <w:sz w:val="24"/>
          <w:szCs w:val="24"/>
          <w:lang w:val="cy-GB"/>
        </w:rPr>
        <w:t xml:space="preserve"> o</w:t>
      </w:r>
      <w:r>
        <w:rPr>
          <w:sz w:val="24"/>
          <w:szCs w:val="24"/>
          <w:lang w:val="cy-GB"/>
        </w:rPr>
        <w:t xml:space="preserve">’r </w:t>
      </w:r>
      <w:r>
        <w:rPr>
          <w:sz w:val="24"/>
          <w:szCs w:val="24"/>
          <w:lang w:val="cy-GB"/>
        </w:rPr>
        <w:t>Coleg, mae’n rhaid iddo nodi’r sail dros apelio yn ysgrifenedig at y Pennaeth Cynorthwyol perthnasol neu Is-bennaeth os nad oes Pennaeth Cynorthwyol mewn maes cwricwlwm, cyn pen pum diwrno</w:t>
      </w:r>
      <w:r>
        <w:rPr>
          <w:sz w:val="24"/>
          <w:szCs w:val="24"/>
          <w:lang w:val="cy-GB"/>
        </w:rPr>
        <w:t xml:space="preserve">d gwaith yn ystod y tymor ar ôl derbyn yr hysbysiad hwnnw. Os na fydd apêl yn cael ei gwneud o fewn pum niwrnod gwaith yn ystod y tymor, bydd y myfyriwr yn colli’r hawl i apelio. </w:t>
      </w:r>
    </w:p>
    <w:p w:rsidR="00052509" w:rsidRDefault="00347D87">
      <w:pPr>
        <w:spacing w:before="240" w:after="200"/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4.2.   Bydd yr apêl yn cael ei chlywed gan banel apêl sy’n cynnwys Pennaeth Cynorthwyol y maes cwricwlwm a Chyfarwyddwr Cwricwlwm annibynnol. Fel rheol, bydd gwrandawiad apêl yn cael ei alw gan y Pennaeth Cynorthwyol o fewn deg diwrnod gwaith yn ystod y t</w:t>
      </w:r>
      <w:r>
        <w:rPr>
          <w:sz w:val="24"/>
          <w:szCs w:val="24"/>
          <w:lang w:val="cy-GB"/>
        </w:rPr>
        <w:t xml:space="preserve">ymor i dderbyn yr hysbysiad o apêl.   </w:t>
      </w:r>
    </w:p>
    <w:p w:rsidR="00052509" w:rsidRDefault="00347D87">
      <w:pPr>
        <w:spacing w:before="240" w:after="200"/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4.3 </w:t>
      </w:r>
      <w:r>
        <w:rPr>
          <w:sz w:val="24"/>
          <w:szCs w:val="24"/>
          <w:lang w:val="cy-GB"/>
        </w:rPr>
        <w:tab/>
        <w:t>Dylid anfon llythyr yn gwahodd y myfyriwr i'r panel apêl trwy'r post dosbarth cyntaf (a thrwy e-bost lle mae cyfeiriadau e-bost yn cael</w:t>
      </w:r>
      <w:r>
        <w:rPr>
          <w:sz w:val="24"/>
          <w:szCs w:val="24"/>
          <w:lang w:val="cy-GB"/>
        </w:rPr>
        <w:t xml:space="preserve"> eu cadw) at y myfyriwr ac at rieni / gofalwyr myfyrwyr dan 18 oed a / neu'r rhai a nodwyd fel oedolion mewn perygl. Mae hyn yn ddarostyngedig i ganiatâd o dan ddeddfwriaeth GDPR. Os yw’r myfyriwr yn brentis, bydd ei gyflogwr yn cael copi o’r llythyr hefyd</w:t>
      </w:r>
      <w:r>
        <w:rPr>
          <w:sz w:val="24"/>
          <w:szCs w:val="24"/>
          <w:lang w:val="cy-GB"/>
        </w:rPr>
        <w:t xml:space="preserve">. Bydd y llythyr yn nodi amser, dyddiad a lleoliad y cyfarfod y mae'r apêl i'w hystyried ynddo, gan roi rhybudd o ddim llai na phum diwrnod yn ystod y tymor i'r Coleg ac amgáu copi o'r polisi hwn. </w:t>
      </w:r>
    </w:p>
    <w:p w:rsidR="00052509" w:rsidRDefault="00347D87">
      <w:pPr>
        <w:spacing w:before="240" w:after="200"/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4.4 </w:t>
      </w:r>
      <w:r>
        <w:rPr>
          <w:sz w:val="24"/>
          <w:szCs w:val="24"/>
          <w:lang w:val="cy-GB"/>
        </w:rPr>
        <w:tab/>
        <w:t>Gall y myfyriwr ddod â rhiant/gofalwr, neu ffrind gyda nhw i’r panel apêl. Os yw’r myfyriwr yn brentis, gall y cyflogwr ddod hefyd.</w:t>
      </w:r>
    </w:p>
    <w:p w:rsidR="00052509" w:rsidRDefault="00347D87">
      <w:pPr>
        <w:spacing w:before="240" w:after="200"/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4.5 </w:t>
      </w:r>
      <w:r>
        <w:rPr>
          <w:sz w:val="24"/>
          <w:szCs w:val="24"/>
          <w:lang w:val="cy-GB"/>
        </w:rPr>
        <w:tab/>
        <w:t>Fel arfer, cynheli</w:t>
      </w:r>
      <w:r>
        <w:rPr>
          <w:sz w:val="24"/>
          <w:szCs w:val="24"/>
          <w:lang w:val="cy-GB"/>
        </w:rPr>
        <w:t xml:space="preserve">r yr achos fel a ganlyn, er y bydd gan y panel yr hawl i amrywio’r drefn mewn amgylchiadau priodol: </w:t>
      </w:r>
    </w:p>
    <w:p w:rsidR="00052509" w:rsidRDefault="00347D87">
      <w:pPr>
        <w:spacing w:before="240" w:after="200"/>
        <w:ind w:left="1440" w:right="71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i. Bydd y myfyriwr yn cael y cyfle i gyflwyno’r rhesymau i gefnogi’r apêl, a a</w:t>
      </w:r>
      <w:r>
        <w:rPr>
          <w:sz w:val="24"/>
          <w:szCs w:val="24"/>
          <w:lang w:val="cy-GB"/>
        </w:rPr>
        <w:t xml:space="preserve">llai gynnwys galw tystion. </w:t>
      </w:r>
    </w:p>
    <w:p w:rsidR="00052509" w:rsidRDefault="00347D87">
      <w:pPr>
        <w:spacing w:before="240" w:after="200"/>
        <w:ind w:left="1440" w:right="71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ii. cyflwyno tystiolaeth gan y Cyfarwyddwr Cwricwlwm priodol yn cefnogi’r penderfyniad i dynnu’r myfyriwr yn ôl.  </w:t>
      </w:r>
    </w:p>
    <w:p w:rsidR="00052509" w:rsidRDefault="00347D87">
      <w:pPr>
        <w:spacing w:before="240" w:after="200"/>
        <w:ind w:left="1700" w:right="710" w:hanging="283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iii. gallai’r panel holi cwestiynau i unrhyw un sy’n ymddangos ger ei bron ar unrhyw adeg o’r achos; </w:t>
      </w:r>
    </w:p>
    <w:p w:rsidR="00052509" w:rsidRDefault="00347D87">
      <w:pPr>
        <w:spacing w:before="240" w:after="200"/>
        <w:ind w:left="720" w:right="710" w:firstLine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iv. bydd y panel yn ystyried y dysti</w:t>
      </w:r>
      <w:r>
        <w:rPr>
          <w:sz w:val="24"/>
          <w:szCs w:val="24"/>
          <w:lang w:val="cy-GB"/>
        </w:rPr>
        <w:t>olaeth ac yn dod i ganlyniad;</w:t>
      </w:r>
    </w:p>
    <w:p w:rsidR="00052509" w:rsidRDefault="00347D87">
      <w:pPr>
        <w:spacing w:before="240" w:after="200"/>
        <w:ind w:left="1417" w:right="710" w:hanging="566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lastRenderedPageBreak/>
        <w:t>4.6</w:t>
      </w:r>
      <w:r>
        <w:rPr>
          <w:sz w:val="24"/>
          <w:szCs w:val="24"/>
          <w:lang w:val="cy-GB"/>
        </w:rPr>
        <w:tab/>
        <w:t>Bydd Cadeirydd y Panel yn ysgrifennu at y myfyriwr cyn pen pum diwrnod gwaith yn ystod y tymor ar ôl i'r Panel ga</w:t>
      </w:r>
      <w:r w:rsidR="00D53DEB">
        <w:rPr>
          <w:sz w:val="24"/>
          <w:szCs w:val="24"/>
          <w:lang w:val="cy-GB"/>
        </w:rPr>
        <w:t>darnhau'r penderfyniad a wnaed.</w:t>
      </w:r>
      <w:r>
        <w:rPr>
          <w:sz w:val="24"/>
          <w:szCs w:val="24"/>
          <w:lang w:val="cy-GB"/>
        </w:rPr>
        <w:t xml:space="preserve"> Bydd penderfyniad y Panel Apêl yn derfynol.</w:t>
      </w:r>
    </w:p>
    <w:p w:rsidR="00052509" w:rsidRDefault="00347D87">
      <w:pPr>
        <w:spacing w:before="240" w:after="200"/>
        <w:ind w:left="1417" w:right="710" w:hanging="566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4.7</w:t>
      </w:r>
      <w:r>
        <w:rPr>
          <w:sz w:val="24"/>
          <w:szCs w:val="24"/>
          <w:lang w:val="cy-GB"/>
        </w:rPr>
        <w:tab/>
        <w:t>Os bydd myfyriwr yn methu â hysbysu'r Coleg nad yw'n mynd i banel apelio, bydd yn digwydd yn ei absenoldeb. Os na all myfyriwr fyn</w:t>
      </w:r>
      <w:r>
        <w:rPr>
          <w:sz w:val="24"/>
          <w:szCs w:val="24"/>
          <w:lang w:val="cy-GB"/>
        </w:rPr>
        <w:t>ychu'r panel apêl am resymau y tu hwnt i'w reolaeth, bydd y panel yn cael ei ohirio i ddiwrnod arall (fel arfer o fewn 5 diwrnod yn ystod y tymor gwaith i'r dyddiad gwreiddiol). Bydd y Coleg yn cadarnhau trefniadau'r panel wedi'i aildrefnu yn ysgrifenedig.</w:t>
      </w:r>
      <w:r>
        <w:rPr>
          <w:sz w:val="24"/>
          <w:szCs w:val="24"/>
          <w:lang w:val="cy-GB"/>
        </w:rPr>
        <w:t xml:space="preserve"> Oni bai bod amgylchiadau arbennig yn lliniaru yn ei erbyn, os na all myfyriwr fynychu'r panel aildrefnwyd, cynhelir y gwrandawiad apêl aildrefnu yn ei absenoldeb.</w:t>
      </w:r>
    </w:p>
    <w:p w:rsidR="00052509" w:rsidRDefault="00052509">
      <w:pPr>
        <w:spacing w:before="240" w:after="200"/>
        <w:ind w:left="720" w:right="710"/>
        <w:jc w:val="both"/>
        <w:rPr>
          <w:sz w:val="24"/>
          <w:szCs w:val="24"/>
        </w:rPr>
      </w:pPr>
    </w:p>
    <w:p w:rsidR="00052509" w:rsidRDefault="00347D87">
      <w:pPr>
        <w:spacing w:before="240" w:after="200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DIWEDD</w:t>
      </w:r>
      <w:r>
        <w:rPr>
          <w:sz w:val="24"/>
          <w:szCs w:val="24"/>
          <w:lang w:val="cy-GB"/>
        </w:rPr>
        <w:br w:type="page"/>
      </w:r>
    </w:p>
    <w:p w:rsidR="00052509" w:rsidRDefault="00052509">
      <w:pPr>
        <w:spacing w:before="240" w:after="200"/>
        <w:ind w:left="720" w:firstLine="720"/>
        <w:jc w:val="both"/>
        <w:rPr>
          <w:sz w:val="24"/>
          <w:szCs w:val="24"/>
        </w:rPr>
      </w:pPr>
    </w:p>
    <w:p w:rsidR="00052509" w:rsidRDefault="00052509" w:rsidP="00C22381">
      <w:pPr>
        <w:spacing w:before="240" w:after="240"/>
        <w:rPr>
          <w:sz w:val="24"/>
          <w:szCs w:val="24"/>
        </w:rPr>
      </w:pPr>
    </w:p>
    <w:p w:rsidR="00C22381" w:rsidRDefault="00C22381" w:rsidP="00C22381">
      <w:pPr>
        <w:spacing w:before="240" w:after="240"/>
        <w:rPr>
          <w:b/>
        </w:rPr>
      </w:pPr>
    </w:p>
    <w:p w:rsidR="00052509" w:rsidRDefault="00347D8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Atodiad Un - Llythyr Cytundeb (y gellir ei deilwra fel y bo’n briodol)</w:t>
      </w:r>
    </w:p>
    <w:p w:rsidR="00052509" w:rsidRDefault="00052509">
      <w:pPr>
        <w:spacing w:before="240" w:after="240"/>
        <w:jc w:val="center"/>
        <w:rPr>
          <w:b/>
          <w:sz w:val="24"/>
          <w:szCs w:val="24"/>
        </w:rPr>
      </w:pPr>
    </w:p>
    <w:p w:rsidR="00052509" w:rsidRDefault="00347D8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Annwyl </w:t>
      </w:r>
    </w:p>
    <w:p w:rsidR="00052509" w:rsidRDefault="00347D8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Y mae’n bolisi gan Goleg Cambria fod myfyrwyr sy’n cofrestru i astudio ar ôl tynnu’n </w:t>
      </w:r>
      <w:bookmarkStart w:id="0" w:name="_GoBack"/>
      <w:r>
        <w:rPr>
          <w:sz w:val="24"/>
          <w:szCs w:val="24"/>
          <w:lang w:val="cy-GB"/>
        </w:rPr>
        <w:t>ôl</w:t>
      </w:r>
      <w:bookmarkEnd w:id="0"/>
      <w:r>
        <w:rPr>
          <w:sz w:val="24"/>
          <w:szCs w:val="24"/>
          <w:lang w:val="cy-GB"/>
        </w:rPr>
        <w:t xml:space="preserve"> yn flaenorol neu wedi bod yn aflwyddian</w:t>
      </w:r>
      <w:r>
        <w:rPr>
          <w:sz w:val="24"/>
          <w:szCs w:val="24"/>
          <w:lang w:val="cy-GB"/>
        </w:rPr>
        <w:t xml:space="preserve">nus oherwydd absenoldeb, agwedd at waith neu faterion disgyblaethol, yn cael eu rhoi ar gyfnod prawf pedair wythnos o ddechrau’r flwyddyn academaidd. </w:t>
      </w:r>
      <w:r>
        <w:rPr>
          <w:sz w:val="24"/>
          <w:szCs w:val="24"/>
          <w:lang w:val="cy-GB"/>
        </w:rPr>
        <w:t xml:space="preserve">Mae cytuno â’r cyfnod prawf hwn yn amod ailgofrestru yng Ngholeg Cambria. </w:t>
      </w:r>
    </w:p>
    <w:p w:rsidR="00052509" w:rsidRDefault="00347D8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Ar ôl 4 wythnos, bydd eich cofnodion presenoldeb, agwedd a chyflwyno gwaith dros y cyfnod hwnnw yn cael ei adolygu, a phenderfyniad yn cael ei wneud naill ai i ddod â’r cyfnod prawf i ben o ganlyniad i’w gwblh</w:t>
      </w:r>
      <w:r>
        <w:rPr>
          <w:sz w:val="24"/>
          <w:szCs w:val="24"/>
          <w:lang w:val="cy-GB"/>
        </w:rPr>
        <w:t xml:space="preserve">au’n llwyddiannus neu eich tynnu oddi ar y cwrs. </w:t>
      </w:r>
      <w:r>
        <w:rPr>
          <w:sz w:val="24"/>
          <w:szCs w:val="24"/>
          <w:lang w:val="cy-GB"/>
        </w:rPr>
        <w:t xml:space="preserve">Byddwch yn cael gwybod y penderfyniad trwy lythyr. </w:t>
      </w:r>
    </w:p>
    <w:p w:rsidR="00052509" w:rsidRDefault="00347D8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A fyddech gystal â darllen y cytundeb atodedig yn ofalus iawn a’i arwyddo, ei</w:t>
      </w:r>
      <w:r>
        <w:rPr>
          <w:sz w:val="24"/>
          <w:szCs w:val="24"/>
          <w:lang w:val="cy-GB"/>
        </w:rPr>
        <w:t xml:space="preserve"> ddyddio a’i ddychwelyd ataf i.</w:t>
      </w:r>
    </w:p>
    <w:p w:rsidR="00052509" w:rsidRDefault="00347D8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Cysylltwch â mi os bydd angen cymorth neu eglurhâd arnoch ynghylch y materion a godwyd yn y llythyr hwn.</w:t>
      </w:r>
    </w:p>
    <w:p w:rsidR="00052509" w:rsidRDefault="00052509">
      <w:pPr>
        <w:spacing w:before="240" w:after="240"/>
        <w:jc w:val="both"/>
        <w:rPr>
          <w:sz w:val="24"/>
          <w:szCs w:val="24"/>
        </w:rPr>
      </w:pPr>
    </w:p>
    <w:p w:rsidR="00052509" w:rsidRDefault="00347D87">
      <w:pPr>
        <w:spacing w:before="240" w:after="240"/>
        <w:jc w:val="both"/>
      </w:pPr>
      <w:r>
        <w:br w:type="page"/>
      </w:r>
    </w:p>
    <w:p w:rsidR="00052509" w:rsidRDefault="00052509">
      <w:pPr>
        <w:spacing w:before="240" w:after="240"/>
        <w:jc w:val="both"/>
      </w:pPr>
    </w:p>
    <w:p w:rsidR="00052509" w:rsidRDefault="00052509">
      <w:pPr>
        <w:spacing w:before="240" w:after="240"/>
        <w:jc w:val="both"/>
      </w:pPr>
    </w:p>
    <w:p w:rsidR="00052509" w:rsidRDefault="00347D87">
      <w:pPr>
        <w:spacing w:before="240" w:after="240"/>
        <w:jc w:val="both"/>
        <w:rPr>
          <w:b/>
          <w:u w:val="single"/>
        </w:rPr>
      </w:pPr>
      <w:r>
        <w:rPr>
          <w:b/>
          <w:bCs/>
          <w:u w:val="single"/>
          <w:lang w:val="cy-GB"/>
        </w:rPr>
        <w:t>Atodiad Dau</w:t>
      </w:r>
    </w:p>
    <w:p w:rsidR="00052509" w:rsidRDefault="00347D8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CYTUNDEB MYFYRIWR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Yr wyf i, yn derbyn fy mod i </w:t>
      </w:r>
      <w:r>
        <w:rPr>
          <w:sz w:val="24"/>
          <w:szCs w:val="24"/>
          <w:lang w:val="cy-GB"/>
        </w:rPr>
        <w:t>wedi cael fy rhoi ar brawf am bedair wythnos. Yr wyf yn cytuno i gydymffurfio â’r c</w:t>
      </w:r>
      <w:r w:rsidR="00D53DEB">
        <w:rPr>
          <w:sz w:val="24"/>
          <w:szCs w:val="24"/>
          <w:lang w:val="cy-GB"/>
        </w:rPr>
        <w:t>anlynol er mwyn parhau i fod yn</w:t>
      </w:r>
      <w:r>
        <w:rPr>
          <w:sz w:val="24"/>
          <w:szCs w:val="24"/>
          <w:lang w:val="cy-GB"/>
        </w:rPr>
        <w:t xml:space="preserve"> fyfyriwr yng Ngholeg Cambria. 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Byddaf: 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-GB"/>
        </w:rPr>
        <w:t>Yn mynychu pob gwers a sesiynau tiwtor personol (ac eithrio am resymau meddygol neu resymau dilys eraill, gan ddar</w:t>
      </w:r>
      <w:r w:rsidR="00D53DEB">
        <w:rPr>
          <w:sz w:val="24"/>
          <w:szCs w:val="24"/>
          <w:lang w:val="cy-GB"/>
        </w:rPr>
        <w:t xml:space="preserve">paru tystiolaeth ar eu cyfer). </w:t>
      </w:r>
      <w:r>
        <w:rPr>
          <w:sz w:val="24"/>
          <w:szCs w:val="24"/>
          <w:lang w:val="cy-GB"/>
        </w:rPr>
        <w:t>Mae hyn hefyd yn cynnwys tiwtorialau a sesiynau cymort</w:t>
      </w:r>
      <w:r>
        <w:rPr>
          <w:sz w:val="24"/>
          <w:szCs w:val="24"/>
          <w:lang w:val="cy-GB"/>
        </w:rPr>
        <w:t xml:space="preserve">h sydd yn rhan o’r rhaglen ddysgu.    </w:t>
      </w:r>
    </w:p>
    <w:p w:rsidR="00052509" w:rsidRDefault="00347D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Yn brydlon ar gyfer pob gwers a sesiynau tiwtor personol. </w:t>
      </w:r>
    </w:p>
    <w:p w:rsidR="00052509" w:rsidRDefault="00347D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-GB"/>
        </w:rPr>
        <w:t>Yn c</w:t>
      </w:r>
      <w:r>
        <w:rPr>
          <w:sz w:val="24"/>
          <w:szCs w:val="24"/>
          <w:lang w:val="cy-GB"/>
        </w:rPr>
        <w:t xml:space="preserve">wblhau pob aseiniad ar amser ac ar lefel briodol. </w:t>
      </w:r>
    </w:p>
    <w:p w:rsidR="00052509" w:rsidRDefault="00347D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Yn cydymffurfio â holl reolau a rheoliadau’r Coleg. 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Bydd methu â chydymffurfio yn arwain at gael eich tynnu oddi ar y cwrs astudio a/neu o’r Coleg. 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>Enw’r Myfyriwr: ___________________________ Arwyddwyd: _______________________</w:t>
      </w:r>
      <w:r>
        <w:rPr>
          <w:sz w:val="24"/>
          <w:szCs w:val="24"/>
          <w:lang w:val="cy-GB"/>
        </w:rPr>
        <w:t xml:space="preserve">____ 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Dyddiad: ________________ </w:t>
      </w:r>
    </w:p>
    <w:p w:rsidR="00052509" w:rsidRDefault="00052509">
      <w:pPr>
        <w:rPr>
          <w:sz w:val="24"/>
          <w:szCs w:val="24"/>
        </w:rPr>
      </w:pP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>Enw’r Cyfarwyddwr Cwricwlwm: _____________________ Arwyddwyd: ____</w:t>
      </w:r>
      <w:r>
        <w:rPr>
          <w:sz w:val="24"/>
          <w:szCs w:val="24"/>
          <w:lang w:val="cy-GB"/>
        </w:rPr>
        <w:t xml:space="preserve">_____________________ </w:t>
      </w:r>
    </w:p>
    <w:p w:rsidR="00052509" w:rsidRDefault="00052509">
      <w:pPr>
        <w:rPr>
          <w:sz w:val="24"/>
          <w:szCs w:val="24"/>
        </w:rPr>
      </w:pPr>
    </w:p>
    <w:p w:rsidR="00052509" w:rsidRDefault="00347D87">
      <w:pPr>
        <w:rPr>
          <w:sz w:val="24"/>
          <w:szCs w:val="24"/>
        </w:rPr>
      </w:pPr>
      <w:r>
        <w:rPr>
          <w:sz w:val="24"/>
          <w:szCs w:val="24"/>
          <w:lang w:val="cy-GB"/>
        </w:rPr>
        <w:t>Dyddiad: ________________</w:t>
      </w:r>
    </w:p>
    <w:sectPr w:rsidR="000525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5" w:right="992" w:bottom="566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7D87">
      <w:pPr>
        <w:spacing w:line="240" w:lineRule="auto"/>
      </w:pPr>
      <w:r>
        <w:separator/>
      </w:r>
    </w:p>
  </w:endnote>
  <w:endnote w:type="continuationSeparator" w:id="0">
    <w:p w:rsidR="00000000" w:rsidRDefault="0034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09" w:rsidRDefault="00347D87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09" w:rsidRDefault="0005250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7D87">
      <w:pPr>
        <w:spacing w:line="240" w:lineRule="auto"/>
      </w:pPr>
      <w:r>
        <w:separator/>
      </w:r>
    </w:p>
  </w:footnote>
  <w:footnote w:type="continuationSeparator" w:id="0">
    <w:p w:rsidR="00000000" w:rsidRDefault="00347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09" w:rsidRDefault="00347D87"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47626</wp:posOffset>
          </wp:positionV>
          <wp:extent cx="1392487" cy="961663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102886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487" cy="96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09" w:rsidRDefault="000525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70E2"/>
    <w:multiLevelType w:val="multilevel"/>
    <w:tmpl w:val="9E301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817AB8"/>
    <w:multiLevelType w:val="multilevel"/>
    <w:tmpl w:val="658ABEF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09"/>
    <w:rsid w:val="00052509"/>
    <w:rsid w:val="00347D87"/>
    <w:rsid w:val="008356DE"/>
    <w:rsid w:val="00C22381"/>
    <w:rsid w:val="00D53DEB"/>
    <w:rsid w:val="00E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D11A"/>
  <w15:docId w15:val="{740B56B5-7FFF-4735-AAF2-DD23966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cambria.ac.uk/translation-request-for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ff.cambria.ac.uk/translation-request-for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Dafydd - dafyddm</cp:lastModifiedBy>
  <cp:revision>3</cp:revision>
  <dcterms:created xsi:type="dcterms:W3CDTF">2021-09-27T14:28:00Z</dcterms:created>
  <dcterms:modified xsi:type="dcterms:W3CDTF">2021-09-30T11:42:00Z</dcterms:modified>
</cp:coreProperties>
</file>